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CCBF1" w14:textId="34752DD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2:</w:t>
      </w:r>
    </w:p>
    <w:p w14:paraId="3B68CDFE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EB36343" w14:textId="05CC92F7" w:rsidR="00E0727D" w:rsidRDefault="00C32E44" w:rsidP="00C32E44">
      <w:pPr>
        <w:tabs>
          <w:tab w:val="center" w:pos="4005"/>
        </w:tabs>
        <w:jc w:val="both"/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2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wrażliwością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empatią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głębokiego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martwienia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o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dobro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dążą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stworzenia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harmonii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równowagi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relacjach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ukierunkowana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współpracę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unikanie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konfliktów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dążenie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budowania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więzi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zaufania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oraz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wzajemnego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zrozumienia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Poszukiwanie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emocjonalnego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bezpieczeństwa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wsparcia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ważnymi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cechami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osób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wpływanych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przez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ten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>.</w:t>
      </w:r>
      <w:r>
        <w:rPr>
          <w:rFonts w:ascii="Cambria" w:eastAsia="Cambria" w:hAnsi="Cambria" w:cs="Cambria"/>
          <w:sz w:val="28"/>
          <w:szCs w:val="28"/>
        </w:rPr>
        <w:tab/>
      </w:r>
    </w:p>
    <w:p w14:paraId="02F3E0F4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7D3D40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79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2025-05-02T20:31:00Z</dcterms:modified>
</cp:coreProperties>
</file>