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C2D2" w14:textId="6495CF4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4:</w:t>
      </w:r>
    </w:p>
    <w:p w14:paraId="1860CA08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4336348" w14:textId="5F8326DC" w:rsidR="00E0727D" w:rsidRDefault="00C32E44" w:rsidP="00E0727D">
      <w:pPr>
        <w:jc w:val="both"/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4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praktyczną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stabilną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bycia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odpowiedzialnymi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lojalnymi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relacjach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ceniąc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bezpieczeństwo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stabilność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radzenia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sobie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bardziej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wyważony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pragmatyczny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preferują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budowanie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solidnych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trwałych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więzi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tendencja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bycia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niezawodnymi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stabilnymi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sprawia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bezpiecznym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wsparciem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choć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czasami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być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postrzegane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jako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zamknięte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</w:p>
    <w:p w14:paraId="52749AD8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46AD2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2025-05-02T20:32:00Z</dcterms:modified>
</cp:coreProperties>
</file>